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0E" w:rsidRPr="00512E57" w:rsidRDefault="00CE0B0E" w:rsidP="00CE0B0E">
      <w:pPr>
        <w:pStyle w:val="Rubrik"/>
        <w:rPr>
          <w:rFonts w:ascii="Cambria" w:hAnsi="Cambria"/>
          <w:color w:val="1F4E79" w:themeColor="accent1" w:themeShade="80"/>
        </w:rPr>
      </w:pPr>
      <w:r w:rsidRPr="00512E57">
        <w:rPr>
          <w:rFonts w:ascii="Cambria" w:hAnsi="Cambria"/>
          <w:color w:val="1F4E79" w:themeColor="accent1" w:themeShade="80"/>
        </w:rPr>
        <w:t>Intern kontrollplan för 2020</w:t>
      </w:r>
    </w:p>
    <w:p w:rsidR="00512E57" w:rsidRDefault="00512E57" w:rsidP="00512E57">
      <w:pPr>
        <w:pStyle w:val="Ingetavstnd"/>
        <w:rPr>
          <w:sz w:val="24"/>
        </w:rPr>
      </w:pPr>
    </w:p>
    <w:p w:rsidR="00C64525" w:rsidRDefault="00C64525" w:rsidP="00C64525">
      <w:pPr>
        <w:shd w:val="clear" w:color="auto" w:fill="FFFFFF" w:themeFill="background1"/>
        <w:rPr>
          <w:sz w:val="24"/>
        </w:rPr>
      </w:pPr>
      <w:r>
        <w:rPr>
          <w:sz w:val="24"/>
        </w:rPr>
        <w:t>Intern kontroll handlar om att förbundets styrelse och ledning ska ha grepp</w:t>
      </w:r>
      <w:r w:rsidR="000E24E4">
        <w:rPr>
          <w:sz w:val="24"/>
        </w:rPr>
        <w:t xml:space="preserve"> över verksamhet</w:t>
      </w:r>
      <w:r w:rsidR="006321A1">
        <w:rPr>
          <w:sz w:val="24"/>
        </w:rPr>
        <w:t>en samt skapa förutsättning till effektiv styrning. Kontrollen ska också skapa ordning och reda vilket i sin tur leder till trygghet för parterna.</w:t>
      </w:r>
    </w:p>
    <w:p w:rsidR="006321A1" w:rsidRDefault="006321A1" w:rsidP="00C64525">
      <w:pPr>
        <w:shd w:val="clear" w:color="auto" w:fill="FFFFFF" w:themeFill="background1"/>
        <w:rPr>
          <w:sz w:val="24"/>
        </w:rPr>
      </w:pPr>
      <w:r>
        <w:rPr>
          <w:sz w:val="24"/>
        </w:rPr>
        <w:t>En god inter</w:t>
      </w:r>
      <w:r w:rsidR="0089480B">
        <w:rPr>
          <w:sz w:val="24"/>
        </w:rPr>
        <w:t>n</w:t>
      </w:r>
      <w:r>
        <w:rPr>
          <w:sz w:val="24"/>
        </w:rPr>
        <w:t xml:space="preserve"> kontroll kännetecknas av följande:</w:t>
      </w:r>
    </w:p>
    <w:p w:rsidR="006321A1" w:rsidRDefault="006321A1" w:rsidP="006321A1">
      <w:pPr>
        <w:pStyle w:val="Liststycke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Ändamålsenliga och väl dokumenterade system och rutiner för styrning</w:t>
      </w:r>
    </w:p>
    <w:p w:rsidR="006321A1" w:rsidRDefault="006321A1" w:rsidP="006321A1">
      <w:pPr>
        <w:pStyle w:val="Liststycke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En rättvisande och tillförlitlig redovisning och övrig information om verksamheten</w:t>
      </w:r>
    </w:p>
    <w:p w:rsidR="006321A1" w:rsidRDefault="006321A1" w:rsidP="006321A1">
      <w:pPr>
        <w:pStyle w:val="Liststycke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Säkerställande av att laga</w:t>
      </w:r>
      <w:r w:rsidR="0089480B">
        <w:rPr>
          <w:sz w:val="24"/>
        </w:rPr>
        <w:t>r, förbundsordning mm tillämpas</w:t>
      </w:r>
    </w:p>
    <w:p w:rsidR="006321A1" w:rsidRDefault="006321A1" w:rsidP="006321A1">
      <w:pPr>
        <w:pStyle w:val="Liststycke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Skydd mot förlust eller förstörelse av förbundets tillgångar</w:t>
      </w:r>
    </w:p>
    <w:p w:rsidR="006321A1" w:rsidRDefault="006321A1" w:rsidP="006321A1">
      <w:pPr>
        <w:pStyle w:val="Liststycke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Eliminering e</w:t>
      </w:r>
      <w:r w:rsidR="0089480B">
        <w:rPr>
          <w:sz w:val="24"/>
        </w:rPr>
        <w:t>ller upptäckt av allvarliga fel</w:t>
      </w:r>
    </w:p>
    <w:p w:rsidR="006321A1" w:rsidRPr="00512E57" w:rsidRDefault="006321A1" w:rsidP="00512E57">
      <w:pPr>
        <w:pStyle w:val="Ingetavstnd"/>
        <w:rPr>
          <w:color w:val="1F4E79" w:themeColor="accent1" w:themeShade="80"/>
          <w:sz w:val="28"/>
        </w:rPr>
      </w:pPr>
      <w:r w:rsidRPr="00512E57">
        <w:rPr>
          <w:color w:val="1F4E79" w:themeColor="accent1" w:themeShade="80"/>
          <w:sz w:val="28"/>
        </w:rPr>
        <w:t>Ris</w:t>
      </w:r>
      <w:r w:rsidR="00512E57" w:rsidRPr="00512E57">
        <w:rPr>
          <w:color w:val="1F4E79" w:themeColor="accent1" w:themeShade="80"/>
          <w:sz w:val="28"/>
        </w:rPr>
        <w:t>kanalys</w:t>
      </w:r>
    </w:p>
    <w:p w:rsidR="006321A1" w:rsidRPr="00512E57" w:rsidRDefault="006321A1" w:rsidP="00512E57">
      <w:pPr>
        <w:pStyle w:val="Ingetavstnd"/>
        <w:rPr>
          <w:sz w:val="24"/>
        </w:rPr>
      </w:pPr>
      <w:r w:rsidRPr="00512E57">
        <w:rPr>
          <w:sz w:val="24"/>
        </w:rPr>
        <w:lastRenderedPageBreak/>
        <w:t>I alla organisationen oavsett storlek, finns risk till att oönskade situationer inträffar. Det kan</w:t>
      </w:r>
      <w:r w:rsidR="00424196">
        <w:rPr>
          <w:sz w:val="24"/>
        </w:rPr>
        <w:t xml:space="preserve"> till exempel</w:t>
      </w:r>
      <w:r w:rsidRPr="00512E57">
        <w:rPr>
          <w:sz w:val="24"/>
        </w:rPr>
        <w:t xml:space="preserve"> röra sig om felaktig eller otillbörlig användning av medel, felaktiga utbetalningar eller agerande som kan leda till ekonomisk förlust eller skada. Inter</w:t>
      </w:r>
      <w:r w:rsidR="00916061">
        <w:rPr>
          <w:sz w:val="24"/>
        </w:rPr>
        <w:t>n</w:t>
      </w:r>
      <w:r w:rsidRPr="00512E57">
        <w:rPr>
          <w:sz w:val="24"/>
        </w:rPr>
        <w:t xml:space="preserve"> kontroll handlar därför även om att kartlägga och analysera befintliga risker samt vidta åtgärder för att minimera dessa.</w:t>
      </w:r>
    </w:p>
    <w:p w:rsidR="00512E57" w:rsidRDefault="00512E57" w:rsidP="00512E57">
      <w:pPr>
        <w:pStyle w:val="Ingetavstnd"/>
        <w:rPr>
          <w:sz w:val="24"/>
        </w:rPr>
      </w:pPr>
    </w:p>
    <w:p w:rsidR="006321A1" w:rsidRDefault="00512E57" w:rsidP="00512E57">
      <w:pPr>
        <w:pStyle w:val="Ingetavstnd"/>
        <w:rPr>
          <w:sz w:val="24"/>
        </w:rPr>
      </w:pPr>
      <w:r w:rsidRPr="00512E57">
        <w:rPr>
          <w:sz w:val="24"/>
        </w:rPr>
        <w:t>Ri</w:t>
      </w:r>
      <w:r w:rsidR="006321A1" w:rsidRPr="00512E57">
        <w:rPr>
          <w:sz w:val="24"/>
        </w:rPr>
        <w:t>skanalysen går ut på att bedöma de risker eller hot som organisationen ställ inför i sin strävan att uppnå målen.</w:t>
      </w:r>
    </w:p>
    <w:p w:rsidR="00512E57" w:rsidRPr="00512E57" w:rsidRDefault="00512E57" w:rsidP="00512E57">
      <w:pPr>
        <w:pStyle w:val="Ingetavstnd"/>
        <w:rPr>
          <w:sz w:val="24"/>
        </w:rPr>
      </w:pPr>
    </w:p>
    <w:p w:rsidR="00120C45" w:rsidRPr="00512E57" w:rsidRDefault="00120C45" w:rsidP="00512E57">
      <w:pPr>
        <w:pStyle w:val="Ingetavstnd"/>
        <w:rPr>
          <w:color w:val="1F4E79" w:themeColor="accent1" w:themeShade="80"/>
          <w:sz w:val="28"/>
        </w:rPr>
      </w:pPr>
      <w:r w:rsidRPr="00512E57">
        <w:rPr>
          <w:color w:val="1F4E79" w:themeColor="accent1" w:themeShade="80"/>
          <w:sz w:val="28"/>
        </w:rPr>
        <w:t>Matris för bedömning av konsekvens och sannolikhet vid intern kontroll</w:t>
      </w:r>
    </w:p>
    <w:p w:rsidR="00120C45" w:rsidRDefault="00120C45" w:rsidP="00512E57">
      <w:pPr>
        <w:pStyle w:val="Ingetavstnd"/>
        <w:rPr>
          <w:sz w:val="24"/>
        </w:rPr>
      </w:pPr>
      <w:r>
        <w:rPr>
          <w:sz w:val="24"/>
        </w:rPr>
        <w:t>Varje ruta i riskmarkisen svarar mot en kombination av sannolikhet och konsekvens (väsentlighetsgrad) och detta är ett vedertaget arbetssätt vid riskanalys.</w:t>
      </w:r>
    </w:p>
    <w:p w:rsidR="00512E57" w:rsidRDefault="00512E57" w:rsidP="00512E57">
      <w:pPr>
        <w:pStyle w:val="Ingetavstnd"/>
        <w:rPr>
          <w:sz w:val="24"/>
        </w:rPr>
      </w:pPr>
    </w:p>
    <w:p w:rsidR="007C5B34" w:rsidRDefault="007C5B34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7C5B34" w:rsidRDefault="007C5B34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7C5B34" w:rsidRDefault="007C5B34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7C5B34" w:rsidRDefault="007C5B34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424196" w:rsidRDefault="00424196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424196" w:rsidRDefault="00424196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916061" w:rsidRDefault="00916061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</w:p>
    <w:p w:rsidR="009026C7" w:rsidRDefault="004356E1" w:rsidP="006321A1">
      <w:pPr>
        <w:shd w:val="clear" w:color="auto" w:fill="FFFFFF" w:themeFill="background1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Skalor för bedömning av väsentlighet och risk i samband med genomförd riskanalys</w:t>
      </w:r>
    </w:p>
    <w:p w:rsidR="004356E1" w:rsidRPr="009320E1" w:rsidRDefault="004356E1" w:rsidP="009320E1">
      <w:pPr>
        <w:pStyle w:val="Ingetavstnd"/>
        <w:rPr>
          <w:b/>
          <w:sz w:val="24"/>
        </w:rPr>
      </w:pPr>
      <w:r w:rsidRPr="009320E1">
        <w:rPr>
          <w:b/>
          <w:sz w:val="24"/>
        </w:rPr>
        <w:t>Väsentlighet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090"/>
      </w:tblGrid>
      <w:tr w:rsidR="004356E1" w:rsidTr="0089480B">
        <w:tc>
          <w:tcPr>
            <w:tcW w:w="2405" w:type="dxa"/>
            <w:shd w:val="clear" w:color="auto" w:fill="5B9BD5" w:themeFill="accent1"/>
          </w:tcPr>
          <w:p w:rsidR="004356E1" w:rsidRPr="009320E1" w:rsidRDefault="009320E1" w:rsidP="006321A1">
            <w:pPr>
              <w:rPr>
                <w:b/>
                <w:sz w:val="24"/>
              </w:rPr>
            </w:pPr>
            <w:r w:rsidRPr="0089480B">
              <w:rPr>
                <w:b/>
                <w:color w:val="FFFFFF" w:themeColor="background1"/>
                <w:sz w:val="24"/>
              </w:rPr>
              <w:t>Konsekvenser vid fel</w:t>
            </w:r>
          </w:p>
        </w:tc>
        <w:tc>
          <w:tcPr>
            <w:tcW w:w="567" w:type="dxa"/>
            <w:shd w:val="clear" w:color="auto" w:fill="5B9BD5" w:themeFill="accent1"/>
          </w:tcPr>
          <w:p w:rsidR="004356E1" w:rsidRDefault="004356E1" w:rsidP="006321A1">
            <w:pPr>
              <w:rPr>
                <w:sz w:val="24"/>
              </w:rPr>
            </w:pPr>
          </w:p>
        </w:tc>
        <w:tc>
          <w:tcPr>
            <w:tcW w:w="6090" w:type="dxa"/>
            <w:shd w:val="clear" w:color="auto" w:fill="5B9BD5" w:themeFill="accent1"/>
          </w:tcPr>
          <w:p w:rsidR="004356E1" w:rsidRPr="0089480B" w:rsidRDefault="009320E1" w:rsidP="006321A1">
            <w:pPr>
              <w:rPr>
                <w:b/>
                <w:color w:val="FFFFFF" w:themeColor="background1"/>
                <w:sz w:val="24"/>
              </w:rPr>
            </w:pPr>
            <w:r w:rsidRPr="0089480B">
              <w:rPr>
                <w:b/>
                <w:color w:val="FFFFFF" w:themeColor="background1"/>
                <w:sz w:val="24"/>
              </w:rPr>
              <w:t>Påverkan på verksamheten/kostnad om fel uppstår</w:t>
            </w:r>
          </w:p>
        </w:tc>
      </w:tr>
      <w:tr w:rsidR="009320E1" w:rsidTr="009320E1">
        <w:tc>
          <w:tcPr>
            <w:tcW w:w="2405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Försumbar</w:t>
            </w:r>
          </w:p>
        </w:tc>
        <w:tc>
          <w:tcPr>
            <w:tcW w:w="567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0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Är obetydlig för de olika intressenterna i förbundet</w:t>
            </w:r>
          </w:p>
        </w:tc>
      </w:tr>
      <w:tr w:rsidR="009320E1" w:rsidTr="009320E1">
        <w:tc>
          <w:tcPr>
            <w:tcW w:w="2405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Lindrig</w:t>
            </w:r>
          </w:p>
        </w:tc>
        <w:tc>
          <w:tcPr>
            <w:tcW w:w="567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0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Uppfattas som liten av så väl intressenter som förbundet</w:t>
            </w:r>
          </w:p>
        </w:tc>
      </w:tr>
      <w:tr w:rsidR="009320E1" w:rsidTr="009320E1">
        <w:tc>
          <w:tcPr>
            <w:tcW w:w="2405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Kännbar</w:t>
            </w:r>
          </w:p>
        </w:tc>
        <w:tc>
          <w:tcPr>
            <w:tcW w:w="567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0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Uppfattas som besvärande för intressenter och förbundet</w:t>
            </w:r>
          </w:p>
        </w:tc>
      </w:tr>
      <w:tr w:rsidR="009320E1" w:rsidTr="009320E1">
        <w:tc>
          <w:tcPr>
            <w:tcW w:w="2405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Allvarligt</w:t>
            </w:r>
          </w:p>
        </w:tc>
        <w:tc>
          <w:tcPr>
            <w:tcW w:w="567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0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Är så stor så fel inte får inträffa</w:t>
            </w:r>
          </w:p>
        </w:tc>
      </w:tr>
      <w:tr w:rsidR="009320E1" w:rsidTr="009320E1">
        <w:tc>
          <w:tcPr>
            <w:tcW w:w="2405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Mycket allvarligt</w:t>
            </w:r>
          </w:p>
        </w:tc>
        <w:tc>
          <w:tcPr>
            <w:tcW w:w="567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0" w:type="dxa"/>
          </w:tcPr>
          <w:p w:rsidR="009320E1" w:rsidRDefault="009320E1" w:rsidP="009320E1">
            <w:pPr>
              <w:rPr>
                <w:sz w:val="24"/>
              </w:rPr>
            </w:pPr>
            <w:r>
              <w:rPr>
                <w:sz w:val="24"/>
              </w:rPr>
              <w:t>Är så stor att fel helt enkelt inte får inträffa</w:t>
            </w:r>
          </w:p>
        </w:tc>
      </w:tr>
    </w:tbl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9320E1" w:rsidRPr="009320E1" w:rsidRDefault="009320E1" w:rsidP="009320E1">
      <w:pPr>
        <w:pStyle w:val="Ingetavstnd"/>
        <w:rPr>
          <w:b/>
          <w:sz w:val="24"/>
        </w:rPr>
      </w:pPr>
      <w:r w:rsidRPr="009320E1">
        <w:rPr>
          <w:b/>
          <w:sz w:val="24"/>
        </w:rPr>
        <w:t>Risk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090"/>
      </w:tblGrid>
      <w:tr w:rsidR="009320E1" w:rsidTr="007C5B34">
        <w:tc>
          <w:tcPr>
            <w:tcW w:w="2405" w:type="dxa"/>
            <w:shd w:val="clear" w:color="auto" w:fill="5B9BD5" w:themeFill="accent1"/>
          </w:tcPr>
          <w:p w:rsidR="009320E1" w:rsidRPr="009320E1" w:rsidRDefault="009320E1" w:rsidP="009320E1">
            <w:pPr>
              <w:pStyle w:val="Ingetavstnd"/>
              <w:rPr>
                <w:b/>
              </w:rPr>
            </w:pPr>
            <w:r w:rsidRPr="0089480B">
              <w:rPr>
                <w:b/>
                <w:color w:val="FFFFFF" w:themeColor="background1"/>
              </w:rPr>
              <w:t>Sannolikhetsnivåer för fel</w:t>
            </w:r>
          </w:p>
        </w:tc>
        <w:tc>
          <w:tcPr>
            <w:tcW w:w="567" w:type="dxa"/>
            <w:shd w:val="clear" w:color="auto" w:fill="5B9BD5" w:themeFill="accent1"/>
          </w:tcPr>
          <w:p w:rsidR="009320E1" w:rsidRDefault="009320E1" w:rsidP="009320E1">
            <w:pPr>
              <w:pStyle w:val="Ingetavstnd"/>
            </w:pPr>
          </w:p>
        </w:tc>
        <w:tc>
          <w:tcPr>
            <w:tcW w:w="6090" w:type="dxa"/>
            <w:shd w:val="clear" w:color="auto" w:fill="5B9BD5" w:themeFill="accent1"/>
          </w:tcPr>
          <w:p w:rsidR="009320E1" w:rsidRDefault="009320E1" w:rsidP="009320E1">
            <w:pPr>
              <w:pStyle w:val="Ingetavstnd"/>
            </w:pPr>
          </w:p>
        </w:tc>
      </w:tr>
      <w:tr w:rsidR="009320E1" w:rsidTr="007C5B34">
        <w:tc>
          <w:tcPr>
            <w:tcW w:w="2405" w:type="dxa"/>
          </w:tcPr>
          <w:p w:rsidR="009320E1" w:rsidRPr="009320E1" w:rsidRDefault="009320E1" w:rsidP="006321A1">
            <w:pPr>
              <w:rPr>
                <w:sz w:val="24"/>
              </w:rPr>
            </w:pPr>
            <w:r>
              <w:rPr>
                <w:sz w:val="24"/>
              </w:rPr>
              <w:t>Osannolikt</w:t>
            </w:r>
          </w:p>
        </w:tc>
        <w:tc>
          <w:tcPr>
            <w:tcW w:w="567" w:type="dxa"/>
          </w:tcPr>
          <w:p w:rsidR="009320E1" w:rsidRPr="009320E1" w:rsidRDefault="009320E1" w:rsidP="006321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0" w:type="dxa"/>
          </w:tcPr>
          <w:p w:rsidR="009320E1" w:rsidRPr="009320E1" w:rsidRDefault="009320E1" w:rsidP="006321A1">
            <w:pPr>
              <w:rPr>
                <w:sz w:val="24"/>
              </w:rPr>
            </w:pPr>
            <w:r w:rsidRPr="009320E1">
              <w:rPr>
                <w:sz w:val="24"/>
              </w:rPr>
              <w:t>Risken är praktiskt taget obefintlig för att fel ska uppstå</w:t>
            </w:r>
          </w:p>
        </w:tc>
      </w:tr>
      <w:tr w:rsidR="009320E1" w:rsidTr="007C5B34">
        <w:tc>
          <w:tcPr>
            <w:tcW w:w="2405" w:type="dxa"/>
          </w:tcPr>
          <w:p w:rsidR="009320E1" w:rsidRPr="00CB14AE" w:rsidRDefault="009320E1" w:rsidP="006321A1">
            <w:pPr>
              <w:rPr>
                <w:sz w:val="24"/>
              </w:rPr>
            </w:pPr>
            <w:r w:rsidRPr="00CB14AE">
              <w:rPr>
                <w:sz w:val="24"/>
              </w:rPr>
              <w:t>Mindre sannolikt</w:t>
            </w:r>
          </w:p>
        </w:tc>
        <w:tc>
          <w:tcPr>
            <w:tcW w:w="567" w:type="dxa"/>
          </w:tcPr>
          <w:p w:rsidR="009320E1" w:rsidRPr="00CB14AE" w:rsidRDefault="009320E1" w:rsidP="006321A1">
            <w:pPr>
              <w:rPr>
                <w:sz w:val="24"/>
              </w:rPr>
            </w:pPr>
            <w:r w:rsidRPr="00CB14AE">
              <w:rPr>
                <w:sz w:val="24"/>
              </w:rPr>
              <w:t>2</w:t>
            </w:r>
          </w:p>
        </w:tc>
        <w:tc>
          <w:tcPr>
            <w:tcW w:w="6090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Risken är mycket liten att fel ska uppstå</w:t>
            </w:r>
          </w:p>
        </w:tc>
      </w:tr>
      <w:tr w:rsidR="009320E1" w:rsidTr="007C5B34">
        <w:tc>
          <w:tcPr>
            <w:tcW w:w="2405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Möjligt</w:t>
            </w:r>
          </w:p>
        </w:tc>
        <w:tc>
          <w:tcPr>
            <w:tcW w:w="567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0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Det finns risk för att fel ska uppstå</w:t>
            </w:r>
          </w:p>
        </w:tc>
      </w:tr>
      <w:tr w:rsidR="009320E1" w:rsidTr="007C5B34">
        <w:tc>
          <w:tcPr>
            <w:tcW w:w="2405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Sannolik</w:t>
            </w:r>
          </w:p>
        </w:tc>
        <w:tc>
          <w:tcPr>
            <w:tcW w:w="567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0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Det är troligt att fel ska uppstå</w:t>
            </w:r>
          </w:p>
        </w:tc>
      </w:tr>
      <w:tr w:rsidR="009320E1" w:rsidTr="007C5B34">
        <w:tc>
          <w:tcPr>
            <w:tcW w:w="2405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Mycket sannolikt</w:t>
            </w:r>
          </w:p>
        </w:tc>
        <w:tc>
          <w:tcPr>
            <w:tcW w:w="567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0" w:type="dxa"/>
          </w:tcPr>
          <w:p w:rsidR="009320E1" w:rsidRPr="00CB14AE" w:rsidRDefault="00CB14AE" w:rsidP="006321A1">
            <w:pPr>
              <w:rPr>
                <w:sz w:val="24"/>
              </w:rPr>
            </w:pPr>
            <w:r>
              <w:rPr>
                <w:sz w:val="24"/>
              </w:rPr>
              <w:t>Det är mycket troligt att fel ska uppstå</w:t>
            </w:r>
          </w:p>
        </w:tc>
      </w:tr>
    </w:tbl>
    <w:p w:rsidR="009320E1" w:rsidRPr="009320E1" w:rsidRDefault="009320E1" w:rsidP="006321A1">
      <w:pPr>
        <w:shd w:val="clear" w:color="auto" w:fill="FFFFFF" w:themeFill="background1"/>
        <w:rPr>
          <w:b/>
          <w:sz w:val="24"/>
        </w:rPr>
      </w:pPr>
    </w:p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916061" w:rsidRDefault="00916061" w:rsidP="006321A1">
      <w:pPr>
        <w:shd w:val="clear" w:color="auto" w:fill="FFFFFF" w:themeFill="background1"/>
        <w:rPr>
          <w:sz w:val="24"/>
        </w:rPr>
      </w:pPr>
    </w:p>
    <w:p w:rsidR="00916061" w:rsidRDefault="00916061" w:rsidP="006321A1">
      <w:pPr>
        <w:shd w:val="clear" w:color="auto" w:fill="FFFFFF" w:themeFill="background1"/>
        <w:rPr>
          <w:sz w:val="24"/>
        </w:rPr>
      </w:pPr>
    </w:p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BB65FD" w:rsidRDefault="00BB65FD" w:rsidP="006321A1">
      <w:pPr>
        <w:shd w:val="clear" w:color="auto" w:fill="FFFFFF" w:themeFill="background1"/>
        <w:rPr>
          <w:sz w:val="24"/>
        </w:rPr>
      </w:pPr>
    </w:p>
    <w:p w:rsidR="00B03C66" w:rsidRDefault="00B03C66" w:rsidP="00B03C66">
      <w:pPr>
        <w:rPr>
          <w:color w:val="2E74B5" w:themeColor="accent1" w:themeShade="BF"/>
          <w:sz w:val="28"/>
        </w:rPr>
        <w:sectPr w:rsidR="00B03C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C66" w:rsidRPr="00676915" w:rsidRDefault="00B03C66" w:rsidP="00B03C66">
      <w:pPr>
        <w:rPr>
          <w:color w:val="2E74B5" w:themeColor="accent1" w:themeShade="BF"/>
          <w:sz w:val="28"/>
        </w:rPr>
      </w:pPr>
      <w:bookmarkStart w:id="0" w:name="_GoBack"/>
      <w:bookmarkEnd w:id="0"/>
      <w:r w:rsidRPr="00676915">
        <w:rPr>
          <w:color w:val="2E74B5" w:themeColor="accent1" w:themeShade="BF"/>
          <w:sz w:val="28"/>
        </w:rPr>
        <w:lastRenderedPageBreak/>
        <w:t>Intern kontrollplan</w:t>
      </w:r>
      <w:r>
        <w:rPr>
          <w:color w:val="2E74B5" w:themeColor="accent1" w:themeShade="BF"/>
          <w:sz w:val="28"/>
        </w:rPr>
        <w:t xml:space="preserve"> – riskbedömning</w:t>
      </w:r>
    </w:p>
    <w:p w:rsidR="00B03C66" w:rsidRPr="008B2F36" w:rsidRDefault="00B03C66" w:rsidP="00B03C66">
      <w:r w:rsidRPr="008B2F36">
        <w:rPr>
          <w:sz w:val="24"/>
        </w:rPr>
        <w:t>Utförs halvårsvis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59"/>
        <w:gridCol w:w="1612"/>
        <w:gridCol w:w="1873"/>
        <w:gridCol w:w="1847"/>
        <w:gridCol w:w="1555"/>
        <w:gridCol w:w="1758"/>
        <w:gridCol w:w="1644"/>
        <w:gridCol w:w="1844"/>
      </w:tblGrid>
      <w:tr w:rsidR="00B03C66" w:rsidTr="00AC461C">
        <w:tc>
          <w:tcPr>
            <w:tcW w:w="1860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Riskbedömning</w:t>
            </w:r>
          </w:p>
        </w:tc>
        <w:tc>
          <w:tcPr>
            <w:tcW w:w="1612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 w:rsidRPr="008B2F36">
              <w:rPr>
                <w:b/>
                <w:sz w:val="24"/>
              </w:rPr>
              <w:t>Granskning</w:t>
            </w:r>
          </w:p>
        </w:tc>
        <w:tc>
          <w:tcPr>
            <w:tcW w:w="1873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Kontrollmoment</w:t>
            </w:r>
          </w:p>
        </w:tc>
        <w:tc>
          <w:tcPr>
            <w:tcW w:w="1847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Metod/frekvens</w:t>
            </w:r>
          </w:p>
        </w:tc>
        <w:tc>
          <w:tcPr>
            <w:tcW w:w="1555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  <w:tc>
          <w:tcPr>
            <w:tcW w:w="1758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 w:rsidRPr="008B2F36">
              <w:rPr>
                <w:b/>
                <w:sz w:val="24"/>
              </w:rPr>
              <w:t>Rapportering till</w:t>
            </w:r>
          </w:p>
        </w:tc>
        <w:tc>
          <w:tcPr>
            <w:tcW w:w="1644" w:type="dxa"/>
          </w:tcPr>
          <w:p w:rsidR="00B03C66" w:rsidRDefault="00B03C66" w:rsidP="00AC46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Väsentlighet</w:t>
            </w:r>
          </w:p>
        </w:tc>
        <w:tc>
          <w:tcPr>
            <w:tcW w:w="1845" w:type="dxa"/>
          </w:tcPr>
          <w:p w:rsidR="00B03C66" w:rsidRPr="008B2F36" w:rsidRDefault="00B03C66" w:rsidP="00AC46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</w:tr>
      <w:tr w:rsidR="00B03C66" w:rsidTr="00AC461C">
        <w:tc>
          <w:tcPr>
            <w:tcW w:w="1860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Risk för oegentligheter/ felaktig hantering</w:t>
            </w:r>
          </w:p>
        </w:tc>
        <w:tc>
          <w:tcPr>
            <w:tcW w:w="1612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Attestering av fakturor</w:t>
            </w:r>
          </w:p>
        </w:tc>
        <w:tc>
          <w:tcPr>
            <w:tcW w:w="1873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Kontroll att fakturor attesteras av behöriga.</w:t>
            </w:r>
          </w:p>
        </w:tc>
        <w:tc>
          <w:tcPr>
            <w:tcW w:w="1847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Stickprov av 5 slumpvis utvalda</w:t>
            </w:r>
          </w:p>
        </w:tc>
        <w:tc>
          <w:tcPr>
            <w:tcW w:w="1555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Ekonom</w:t>
            </w:r>
          </w:p>
        </w:tc>
        <w:tc>
          <w:tcPr>
            <w:tcW w:w="1758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Styrelsen</w:t>
            </w:r>
          </w:p>
        </w:tc>
        <w:tc>
          <w:tcPr>
            <w:tcW w:w="1644" w:type="dxa"/>
          </w:tcPr>
          <w:p w:rsidR="00B03C66" w:rsidRDefault="00B03C66" w:rsidP="00AC461C">
            <w:pPr>
              <w:rPr>
                <w:sz w:val="24"/>
              </w:rPr>
            </w:pPr>
          </w:p>
          <w:p w:rsidR="00B03C66" w:rsidRDefault="00B03C66" w:rsidP="00AC461C">
            <w:pPr>
              <w:rPr>
                <w:sz w:val="24"/>
              </w:rPr>
            </w:pPr>
          </w:p>
          <w:p w:rsidR="00B03C66" w:rsidRPr="00B41C55" w:rsidRDefault="00B03C66" w:rsidP="00AC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B03C66" w:rsidRDefault="00B03C66" w:rsidP="00AC461C">
            <w:pPr>
              <w:jc w:val="center"/>
              <w:rPr>
                <w:sz w:val="24"/>
              </w:rPr>
            </w:pPr>
          </w:p>
          <w:p w:rsidR="00B03C66" w:rsidRDefault="00B03C66" w:rsidP="00AC461C">
            <w:pPr>
              <w:jc w:val="center"/>
              <w:rPr>
                <w:sz w:val="24"/>
              </w:rPr>
            </w:pPr>
          </w:p>
          <w:p w:rsidR="00B03C66" w:rsidRDefault="00B03C66" w:rsidP="00AC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C66" w:rsidTr="00AC461C">
        <w:tc>
          <w:tcPr>
            <w:tcW w:w="1860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Risk för felaktigheter i fakturor</w:t>
            </w:r>
          </w:p>
        </w:tc>
        <w:tc>
          <w:tcPr>
            <w:tcW w:w="1612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Att betalning av fakturor görs i rätt tid</w:t>
            </w:r>
          </w:p>
        </w:tc>
        <w:tc>
          <w:tcPr>
            <w:tcW w:w="1873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Att fakturorna betalas senast sista betalningsdag.</w:t>
            </w:r>
          </w:p>
        </w:tc>
        <w:tc>
          <w:tcPr>
            <w:tcW w:w="1847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Kontroll av 5 slumpvis utvalda fakturor</w:t>
            </w:r>
          </w:p>
        </w:tc>
        <w:tc>
          <w:tcPr>
            <w:tcW w:w="1555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Ekonom</w:t>
            </w:r>
          </w:p>
        </w:tc>
        <w:tc>
          <w:tcPr>
            <w:tcW w:w="1758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Styrelsen</w:t>
            </w:r>
          </w:p>
        </w:tc>
        <w:tc>
          <w:tcPr>
            <w:tcW w:w="1644" w:type="dxa"/>
          </w:tcPr>
          <w:p w:rsidR="00B03C66" w:rsidRDefault="00B03C66" w:rsidP="00AC461C">
            <w:pPr>
              <w:jc w:val="center"/>
              <w:rPr>
                <w:sz w:val="24"/>
              </w:rPr>
            </w:pPr>
          </w:p>
          <w:p w:rsidR="00B03C66" w:rsidRDefault="00B03C66" w:rsidP="00AC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B03C66" w:rsidRDefault="00B03C66" w:rsidP="00AC461C">
            <w:pPr>
              <w:rPr>
                <w:sz w:val="24"/>
              </w:rPr>
            </w:pPr>
          </w:p>
          <w:p w:rsidR="00B03C66" w:rsidRDefault="00B03C66" w:rsidP="00AC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3C66" w:rsidTr="00AC461C">
        <w:tc>
          <w:tcPr>
            <w:tcW w:w="1860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Fakturor som inkommer gällande de insatser förbundet finansierar</w:t>
            </w:r>
          </w:p>
        </w:tc>
        <w:tc>
          <w:tcPr>
            <w:tcW w:w="1612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Stämma av mot avtal samt dokumentera kostnaden</w:t>
            </w:r>
          </w:p>
        </w:tc>
        <w:tc>
          <w:tcPr>
            <w:tcW w:w="1873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Varje faktura stäms av mot upprättat uppdrag. Förbundschef dokumenterar kostnaden.</w:t>
            </w:r>
          </w:p>
        </w:tc>
        <w:tc>
          <w:tcPr>
            <w:tcW w:w="1847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Kontroll i samband med delårs- och årsbokslut</w:t>
            </w:r>
          </w:p>
        </w:tc>
        <w:tc>
          <w:tcPr>
            <w:tcW w:w="1555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Förbundschef</w:t>
            </w:r>
          </w:p>
        </w:tc>
        <w:tc>
          <w:tcPr>
            <w:tcW w:w="1758" w:type="dxa"/>
          </w:tcPr>
          <w:p w:rsidR="00B03C66" w:rsidRDefault="00B03C66" w:rsidP="00AC461C">
            <w:pPr>
              <w:rPr>
                <w:sz w:val="24"/>
              </w:rPr>
            </w:pPr>
            <w:r>
              <w:rPr>
                <w:sz w:val="24"/>
              </w:rPr>
              <w:t>Styrelsen</w:t>
            </w:r>
          </w:p>
        </w:tc>
        <w:tc>
          <w:tcPr>
            <w:tcW w:w="1644" w:type="dxa"/>
          </w:tcPr>
          <w:p w:rsidR="00B03C66" w:rsidRDefault="00B03C66" w:rsidP="00AC461C">
            <w:pPr>
              <w:rPr>
                <w:sz w:val="24"/>
              </w:rPr>
            </w:pPr>
          </w:p>
          <w:p w:rsidR="00B03C66" w:rsidRDefault="00B03C66" w:rsidP="00AC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B03C66" w:rsidRDefault="00B03C66" w:rsidP="00AC461C">
            <w:pPr>
              <w:jc w:val="center"/>
              <w:rPr>
                <w:sz w:val="24"/>
              </w:rPr>
            </w:pPr>
          </w:p>
          <w:p w:rsidR="00B03C66" w:rsidRDefault="00B03C66" w:rsidP="00AC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03C66" w:rsidRDefault="00B03C66" w:rsidP="00B03C66">
      <w:pPr>
        <w:rPr>
          <w:sz w:val="24"/>
        </w:rPr>
      </w:pPr>
    </w:p>
    <w:p w:rsidR="00B03C66" w:rsidRPr="008B2F36" w:rsidRDefault="00B03C66" w:rsidP="00B03C66">
      <w:pPr>
        <w:rPr>
          <w:sz w:val="24"/>
        </w:rPr>
      </w:pPr>
      <w:r>
        <w:rPr>
          <w:sz w:val="24"/>
        </w:rPr>
        <w:t xml:space="preserve">Förbundschefen har tillsammans med presidiet tagit fram väsentlighet- och riskanalys som resulterat i ovan bedömning. Arbetsutskottets förslag är att utifrån bedömningen kontrollera att fakturor betalas senast sista betalningsdag samt att varje faktura stäms av mot upprättat uppdrag. </w:t>
      </w:r>
    </w:p>
    <w:p w:rsidR="00B03C66" w:rsidRDefault="00B03C66" w:rsidP="00B03C66">
      <w:r>
        <w:br w:type="page"/>
      </w:r>
    </w:p>
    <w:p w:rsidR="00B03C66" w:rsidRDefault="00B03C66" w:rsidP="006321A1">
      <w:pPr>
        <w:shd w:val="clear" w:color="auto" w:fill="FFFFFF" w:themeFill="background1"/>
        <w:rPr>
          <w:sz w:val="24"/>
        </w:rPr>
        <w:sectPr w:rsidR="00B03C66" w:rsidSect="00B03C66">
          <w:head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03C66" w:rsidRDefault="00B03C66" w:rsidP="006321A1">
      <w:pPr>
        <w:shd w:val="clear" w:color="auto" w:fill="FFFFFF" w:themeFill="background1"/>
        <w:rPr>
          <w:sz w:val="24"/>
        </w:rPr>
      </w:pPr>
    </w:p>
    <w:p w:rsidR="00BB65FD" w:rsidRPr="00CE0B0E" w:rsidRDefault="00BB65FD" w:rsidP="006321A1">
      <w:pPr>
        <w:shd w:val="clear" w:color="auto" w:fill="FFFFFF" w:themeFill="background1"/>
        <w:rPr>
          <w:b/>
          <w:color w:val="1F4E79" w:themeColor="accent1" w:themeShade="80"/>
          <w:sz w:val="28"/>
        </w:rPr>
      </w:pPr>
      <w:r w:rsidRPr="00CE0B0E">
        <w:rPr>
          <w:b/>
          <w:color w:val="1F4E79" w:themeColor="accent1" w:themeShade="80"/>
          <w:sz w:val="28"/>
        </w:rPr>
        <w:t xml:space="preserve">Bilaga 1 </w:t>
      </w:r>
    </w:p>
    <w:p w:rsidR="00BB65FD" w:rsidRPr="00CE0B0E" w:rsidRDefault="00BB65FD" w:rsidP="002178F6">
      <w:pPr>
        <w:shd w:val="clear" w:color="auto" w:fill="FFFFFF" w:themeFill="background1"/>
        <w:rPr>
          <w:b/>
          <w:color w:val="1F4E79" w:themeColor="accent1" w:themeShade="80"/>
          <w:sz w:val="24"/>
        </w:rPr>
      </w:pPr>
      <w:r w:rsidRPr="00CE0B0E">
        <w:rPr>
          <w:b/>
          <w:color w:val="1F4E79" w:themeColor="accent1" w:themeShade="80"/>
          <w:sz w:val="28"/>
        </w:rPr>
        <w:t>Granskningsprotokoll för intern kontroll</w:t>
      </w:r>
    </w:p>
    <w:p w:rsidR="00BB65FD" w:rsidRDefault="0089480B" w:rsidP="00916061">
      <w:pPr>
        <w:shd w:val="clear" w:color="auto" w:fill="FFFFFF" w:themeFill="background1"/>
        <w:rPr>
          <w:sz w:val="24"/>
        </w:rPr>
      </w:pPr>
      <w:r>
        <w:rPr>
          <w:sz w:val="24"/>
        </w:rPr>
        <w:t>Kontroll</w:t>
      </w:r>
      <w:r w:rsidR="004B5FF8">
        <w:rPr>
          <w:sz w:val="24"/>
        </w:rPr>
        <w:t>moment</w:t>
      </w:r>
      <w:r w:rsidR="00BB65FD">
        <w:rPr>
          <w:sz w:val="24"/>
        </w:rPr>
        <w:t xml:space="preserve"> (rutin/system</w:t>
      </w:r>
      <w:r w:rsidR="004B5FF8">
        <w:rPr>
          <w:sz w:val="24"/>
        </w:rPr>
        <w:t>)</w:t>
      </w:r>
      <w:r w:rsidR="00BB65FD">
        <w:rPr>
          <w:sz w:val="24"/>
        </w:rPr>
        <w:tab/>
        <w:t>_______________________</w:t>
      </w:r>
    </w:p>
    <w:p w:rsidR="00BB65FD" w:rsidRDefault="00BB65FD" w:rsidP="00916061">
      <w:pPr>
        <w:shd w:val="clear" w:color="auto" w:fill="FFFFFF" w:themeFill="background1"/>
        <w:rPr>
          <w:sz w:val="24"/>
        </w:rPr>
      </w:pPr>
      <w:r>
        <w:rPr>
          <w:sz w:val="24"/>
        </w:rPr>
        <w:t>Rapportering till befattning</w:t>
      </w:r>
      <w:r>
        <w:rPr>
          <w:sz w:val="24"/>
        </w:rPr>
        <w:tab/>
        <w:t>_______________________</w:t>
      </w:r>
    </w:p>
    <w:p w:rsidR="00BB65FD" w:rsidRDefault="00BB65FD" w:rsidP="00BB65FD">
      <w:pPr>
        <w:shd w:val="clear" w:color="auto" w:fill="FFFFFF" w:themeFill="background1"/>
        <w:rPr>
          <w:sz w:val="24"/>
        </w:rPr>
      </w:pPr>
      <w:r>
        <w:rPr>
          <w:sz w:val="24"/>
        </w:rPr>
        <w:tab/>
      </w:r>
    </w:p>
    <w:p w:rsidR="00BB65FD" w:rsidRDefault="00BB65FD" w:rsidP="00424196">
      <w:pPr>
        <w:shd w:val="clear" w:color="auto" w:fill="FFFFFF" w:themeFill="background1"/>
        <w:rPr>
          <w:i/>
          <w:sz w:val="24"/>
        </w:rPr>
      </w:pPr>
      <w:r>
        <w:rPr>
          <w:i/>
          <w:sz w:val="24"/>
        </w:rPr>
        <w:t>Resultat</w:t>
      </w:r>
    </w:p>
    <w:p w:rsidR="00BB65FD" w:rsidRDefault="007F42FD" w:rsidP="00BB65FD">
      <w:pPr>
        <w:pStyle w:val="Ingetavstnd"/>
        <w:numPr>
          <w:ilvl w:val="0"/>
          <w:numId w:val="4"/>
        </w:numPr>
      </w:pPr>
      <w:r>
        <w:rPr>
          <w:i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C6EC" id="Rektangel 3" o:spid="_x0000_s1026" style="position:absolute;margin-left:397.15pt;margin-top: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BB65FD" w:rsidRPr="00BB65FD">
        <w:t>Rutinen</w:t>
      </w:r>
      <w:r w:rsidR="00BB65FD">
        <w:t xml:space="preserve"> fungerar enligt rutinbeskrivning</w:t>
      </w:r>
      <w:r w:rsidR="00BB65FD">
        <w:tab/>
      </w:r>
      <w:r w:rsidR="00BB65FD">
        <w:tab/>
      </w:r>
      <w:r w:rsidR="00BB65FD">
        <w:tab/>
      </w:r>
    </w:p>
    <w:p w:rsidR="00BB65FD" w:rsidRDefault="00BB65FD" w:rsidP="00BB65FD">
      <w:pPr>
        <w:pStyle w:val="Ingetavstnd"/>
      </w:pPr>
    </w:p>
    <w:p w:rsidR="00BB65FD" w:rsidRDefault="007F42FD" w:rsidP="00BB65FD">
      <w:pPr>
        <w:pStyle w:val="Ingetavstnd"/>
        <w:numPr>
          <w:ilvl w:val="0"/>
          <w:numId w:val="4"/>
        </w:numPr>
      </w:pPr>
      <w:r>
        <w:rPr>
          <w:i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2EBF7" wp14:editId="53C31B13">
                <wp:simplePos x="0" y="0"/>
                <wp:positionH relativeFrom="column">
                  <wp:posOffset>5048250</wp:posOffset>
                </wp:positionH>
                <wp:positionV relativeFrom="paragraph">
                  <wp:posOffset>4445</wp:posOffset>
                </wp:positionV>
                <wp:extent cx="152400" cy="142875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FCC0F" id="Rektangel 6" o:spid="_x0000_s1026" style="position:absolute;margin-left:397.5pt;margin-top:.3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" fillcolor="window" strokecolor="windowText" strokeweight="1pt"/>
            </w:pict>
          </mc:Fallback>
        </mc:AlternateContent>
      </w:r>
      <w:r w:rsidR="00BB65FD">
        <w:t>Rutinen fungerar men är i behov av utveckling</w:t>
      </w:r>
    </w:p>
    <w:p w:rsidR="007F42FD" w:rsidRDefault="007F42FD" w:rsidP="007F42FD">
      <w:pPr>
        <w:pStyle w:val="Liststycke"/>
      </w:pPr>
    </w:p>
    <w:p w:rsidR="007F42FD" w:rsidRDefault="007F42FD" w:rsidP="00BB65FD">
      <w:pPr>
        <w:pStyle w:val="Ingetavstnd"/>
        <w:numPr>
          <w:ilvl w:val="0"/>
          <w:numId w:val="4"/>
        </w:numPr>
      </w:pPr>
      <w:r>
        <w:t>Följande avvikelser mot rutinen har konstaterats</w:t>
      </w:r>
    </w:p>
    <w:p w:rsidR="007F42FD" w:rsidRDefault="007F42FD" w:rsidP="007F42FD">
      <w:pPr>
        <w:pStyle w:val="Liststycke"/>
      </w:pPr>
    </w:p>
    <w:p w:rsidR="007F42FD" w:rsidRDefault="007F42FD" w:rsidP="007F42FD">
      <w:pPr>
        <w:pStyle w:val="Ingetavstnd"/>
        <w:ind w:left="720"/>
      </w:pPr>
      <w:r>
        <w:t>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</w:t>
      </w:r>
    </w:p>
    <w:p w:rsidR="007F42FD" w:rsidRDefault="007F42FD" w:rsidP="007F42FD">
      <w:pPr>
        <w:pStyle w:val="Liststycke"/>
      </w:pPr>
    </w:p>
    <w:p w:rsidR="007F42FD" w:rsidRDefault="007F42FD" w:rsidP="007F42FD">
      <w:pPr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F42FD" w:rsidRPr="007F42FD" w:rsidRDefault="007F42FD" w:rsidP="007F42FD">
      <w:pPr>
        <w:pStyle w:val="Ingetavstnd"/>
        <w:numPr>
          <w:ilvl w:val="0"/>
          <w:numId w:val="4"/>
        </w:numPr>
        <w:rPr>
          <w:sz w:val="24"/>
        </w:rPr>
      </w:pPr>
      <w:r>
        <w:t>Förslag till åtgärder som ska vidtas</w:t>
      </w:r>
    </w:p>
    <w:p w:rsidR="007F42FD" w:rsidRDefault="007F42FD" w:rsidP="007F42FD">
      <w:pPr>
        <w:pStyle w:val="Ingetavstn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FD" w:rsidRDefault="007F42FD" w:rsidP="007F42FD">
      <w:pPr>
        <w:pStyle w:val="Ingetavstnd"/>
        <w:ind w:left="720"/>
        <w:rPr>
          <w:sz w:val="24"/>
        </w:rPr>
      </w:pPr>
    </w:p>
    <w:p w:rsidR="007F42FD" w:rsidRDefault="007F42FD" w:rsidP="007F42FD">
      <w:pPr>
        <w:pStyle w:val="Ingetavstnd"/>
        <w:ind w:left="720"/>
        <w:rPr>
          <w:sz w:val="24"/>
        </w:rPr>
      </w:pPr>
    </w:p>
    <w:p w:rsidR="007F42FD" w:rsidRPr="00D36202" w:rsidRDefault="007F42FD" w:rsidP="007F42FD">
      <w:pPr>
        <w:pStyle w:val="Ingetavstnd"/>
        <w:ind w:firstLine="720"/>
        <w:rPr>
          <w:sz w:val="24"/>
        </w:rPr>
      </w:pPr>
      <w:r>
        <w:rPr>
          <w:sz w:val="24"/>
        </w:rPr>
        <w:t>______________</w:t>
      </w:r>
      <w:r w:rsidR="00CE0B0E">
        <w:rPr>
          <w:sz w:val="24"/>
        </w:rPr>
        <w:t>______</w:t>
      </w:r>
    </w:p>
    <w:p w:rsidR="007F42FD" w:rsidRDefault="007F42FD" w:rsidP="00C64525">
      <w:pPr>
        <w:shd w:val="clear" w:color="auto" w:fill="FFFFFF" w:themeFill="background1"/>
        <w:rPr>
          <w:sz w:val="24"/>
        </w:rPr>
      </w:pPr>
      <w:r>
        <w:rPr>
          <w:b/>
          <w:color w:val="1F4E79" w:themeColor="accent1" w:themeShade="80"/>
          <w:sz w:val="28"/>
        </w:rPr>
        <w:t xml:space="preserve">           </w:t>
      </w:r>
      <w:r>
        <w:rPr>
          <w:sz w:val="24"/>
        </w:rPr>
        <w:t>Kontroll utförd (datum)</w:t>
      </w:r>
    </w:p>
    <w:p w:rsidR="007F42FD" w:rsidRDefault="007F42FD" w:rsidP="00C64525">
      <w:pPr>
        <w:shd w:val="clear" w:color="auto" w:fill="FFFFFF" w:themeFill="background1"/>
        <w:rPr>
          <w:sz w:val="24"/>
        </w:rPr>
      </w:pPr>
    </w:p>
    <w:p w:rsidR="007F42FD" w:rsidRDefault="007F42FD" w:rsidP="00C64525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            </w:t>
      </w:r>
    </w:p>
    <w:p w:rsidR="007F42FD" w:rsidRDefault="007F42FD" w:rsidP="007F42FD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            ________________________     </w:t>
      </w:r>
      <w:r w:rsidR="004B5FF8">
        <w:rPr>
          <w:sz w:val="24"/>
        </w:rPr>
        <w:t xml:space="preserve">                           </w:t>
      </w:r>
    </w:p>
    <w:p w:rsidR="007F42FD" w:rsidRPr="007F42FD" w:rsidRDefault="007F42FD" w:rsidP="00C64525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            Kontro</w:t>
      </w:r>
      <w:r w:rsidR="004B5FF8">
        <w:rPr>
          <w:sz w:val="24"/>
        </w:rPr>
        <w:t>llansvarig</w:t>
      </w:r>
      <w:r w:rsidR="004B5FF8">
        <w:rPr>
          <w:sz w:val="24"/>
        </w:rPr>
        <w:tab/>
      </w:r>
      <w:r w:rsidR="004B5FF8">
        <w:rPr>
          <w:sz w:val="24"/>
        </w:rPr>
        <w:tab/>
      </w:r>
      <w:r w:rsidR="004B5FF8">
        <w:rPr>
          <w:sz w:val="24"/>
        </w:rPr>
        <w:tab/>
        <w:t xml:space="preserve">  </w:t>
      </w:r>
    </w:p>
    <w:sectPr w:rsidR="007F42FD" w:rsidRPr="007F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25" w:rsidRDefault="00C64525" w:rsidP="00C64525">
      <w:pPr>
        <w:spacing w:after="0" w:line="240" w:lineRule="auto"/>
      </w:pPr>
      <w:r>
        <w:separator/>
      </w:r>
    </w:p>
  </w:endnote>
  <w:endnote w:type="continuationSeparator" w:id="0">
    <w:p w:rsidR="00C64525" w:rsidRDefault="00C64525" w:rsidP="00C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EA" w:rsidRDefault="005A60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EA" w:rsidRDefault="005A60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EA" w:rsidRDefault="005A60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25" w:rsidRDefault="00C64525" w:rsidP="00C64525">
      <w:pPr>
        <w:spacing w:after="0" w:line="240" w:lineRule="auto"/>
      </w:pPr>
      <w:r>
        <w:separator/>
      </w:r>
    </w:p>
  </w:footnote>
  <w:footnote w:type="continuationSeparator" w:id="0">
    <w:p w:rsidR="00C64525" w:rsidRDefault="00C64525" w:rsidP="00C6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EA" w:rsidRDefault="005A60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25" w:rsidRDefault="00C64525">
    <w:pPr>
      <w:pStyle w:val="Sidhuvud"/>
    </w:pPr>
    <w:r>
      <w:rPr>
        <w:noProof/>
        <w:lang w:eastAsia="sv-SE"/>
      </w:rPr>
      <w:drawing>
        <wp:inline distT="0" distB="0" distL="0" distR="0">
          <wp:extent cx="2628900" cy="1595437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SAM 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59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83A7F">
      <w:t xml:space="preserve">    </w:t>
    </w:r>
    <w:r w:rsidR="00424196">
      <w:rPr>
        <w:sz w:val="24"/>
      </w:rPr>
      <w:t>2020-03-</w:t>
    </w:r>
    <w:r w:rsidR="00283A7F">
      <w:rPr>
        <w:sz w:val="2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EA" w:rsidRDefault="005A60EA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BA" w:rsidRDefault="002D57BA">
    <w:pPr>
      <w:pStyle w:val="Sidhuvud"/>
    </w:pPr>
    <w:r>
      <w:rPr>
        <w:noProof/>
        <w:lang w:eastAsia="sv-SE"/>
      </w:rPr>
      <w:drawing>
        <wp:inline distT="0" distB="0" distL="0" distR="0" wp14:anchorId="7905D3B5" wp14:editId="6F97D112">
          <wp:extent cx="1895475" cy="1150333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SAM 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15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</w:t>
    </w:r>
    <w:r>
      <w:rPr>
        <w:sz w:val="24"/>
      </w:rPr>
      <w:t>2020-03-12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AB1"/>
    <w:multiLevelType w:val="hybridMultilevel"/>
    <w:tmpl w:val="35D0B2CE"/>
    <w:lvl w:ilvl="0" w:tplc="26EC79F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F590280"/>
    <w:multiLevelType w:val="hybridMultilevel"/>
    <w:tmpl w:val="501CD2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62E22"/>
    <w:multiLevelType w:val="hybridMultilevel"/>
    <w:tmpl w:val="0A2CA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301B"/>
    <w:multiLevelType w:val="hybridMultilevel"/>
    <w:tmpl w:val="567E8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5"/>
    <w:rsid w:val="000E24E4"/>
    <w:rsid w:val="00120C45"/>
    <w:rsid w:val="002178F6"/>
    <w:rsid w:val="00274B69"/>
    <w:rsid w:val="00283A7F"/>
    <w:rsid w:val="002A5F98"/>
    <w:rsid w:val="002D57BA"/>
    <w:rsid w:val="00424196"/>
    <w:rsid w:val="004356E1"/>
    <w:rsid w:val="004B5FF8"/>
    <w:rsid w:val="00512E57"/>
    <w:rsid w:val="005A60EA"/>
    <w:rsid w:val="006321A1"/>
    <w:rsid w:val="006369F7"/>
    <w:rsid w:val="007C5B34"/>
    <w:rsid w:val="007F42FD"/>
    <w:rsid w:val="00815EE7"/>
    <w:rsid w:val="0089480B"/>
    <w:rsid w:val="009026C7"/>
    <w:rsid w:val="00916061"/>
    <w:rsid w:val="009320E1"/>
    <w:rsid w:val="00A450F8"/>
    <w:rsid w:val="00A671D1"/>
    <w:rsid w:val="00B03C66"/>
    <w:rsid w:val="00BB65FD"/>
    <w:rsid w:val="00C64525"/>
    <w:rsid w:val="00CB14AE"/>
    <w:rsid w:val="00CE0B0E"/>
    <w:rsid w:val="00D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2ACE"/>
  <w15:chartTrackingRefBased/>
  <w15:docId w15:val="{AC4F7248-0A3D-460A-9F1C-A7C21C3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4525"/>
  </w:style>
  <w:style w:type="paragraph" w:styleId="Sidfot">
    <w:name w:val="footer"/>
    <w:basedOn w:val="Normal"/>
    <w:link w:val="SidfotChar"/>
    <w:uiPriority w:val="99"/>
    <w:unhideWhenUsed/>
    <w:rsid w:val="00C6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4525"/>
  </w:style>
  <w:style w:type="paragraph" w:styleId="Liststycke">
    <w:name w:val="List Paragraph"/>
    <w:basedOn w:val="Normal"/>
    <w:uiPriority w:val="34"/>
    <w:qFormat/>
    <w:rsid w:val="006321A1"/>
    <w:pPr>
      <w:ind w:left="720"/>
      <w:contextualSpacing/>
    </w:pPr>
  </w:style>
  <w:style w:type="table" w:styleId="Tabellrutnt">
    <w:name w:val="Table Grid"/>
    <w:basedOn w:val="Normaltabell"/>
    <w:uiPriority w:val="39"/>
    <w:rsid w:val="0012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B65F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8F6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E0B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0B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428A-C4A8-408F-AE73-06C9159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D3358985</Template>
  <TotalTime>0</TotalTime>
  <Pages>4</Pages>
  <Words>680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Maria - IOF</dc:creator>
  <cp:keywords/>
  <dc:description/>
  <cp:lastModifiedBy>Andersson, Maria - IOF</cp:lastModifiedBy>
  <cp:revision>2</cp:revision>
  <cp:lastPrinted>2020-01-27T10:51:00Z</cp:lastPrinted>
  <dcterms:created xsi:type="dcterms:W3CDTF">2020-03-16T11:01:00Z</dcterms:created>
  <dcterms:modified xsi:type="dcterms:W3CDTF">2020-03-16T11:01:00Z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41a3e-b2f6-4623-9007-da0742ac9d7d_Enabled">
    <vt:lpwstr>true</vt:lpwstr>
  </property>
  <property fmtid="{D5CDD505-2E9C-101B-9397-08002B2CF9AE}" pid="3" name="MSIP_Label_0b441a3e-b2f6-4623-9007-da0742ac9d7d_SetDate">
    <vt:lpwstr>2020-02-25T07:31:42Z</vt:lpwstr>
  </property>
  <property fmtid="{D5CDD505-2E9C-101B-9397-08002B2CF9AE}" pid="4" name="MSIP_Label_0b441a3e-b2f6-4623-9007-da0742ac9d7d_Method">
    <vt:lpwstr>Standard</vt:lpwstr>
  </property>
  <property fmtid="{D5CDD505-2E9C-101B-9397-08002B2CF9AE}" pid="5" name="MSIP_Label_0b441a3e-b2f6-4623-9007-da0742ac9d7d_Name">
    <vt:lpwstr>0b441a3e-b2f6-4623-9007-da0742ac9d7d</vt:lpwstr>
  </property>
  <property fmtid="{D5CDD505-2E9C-101B-9397-08002B2CF9AE}" pid="6" name="MSIP_Label_0b441a3e-b2f6-4623-9007-da0742ac9d7d_SiteId">
    <vt:lpwstr>14dea877-dd63-4b36-8c67-d71aba0b9444</vt:lpwstr>
  </property>
  <property fmtid="{D5CDD505-2E9C-101B-9397-08002B2CF9AE}" pid="7" name="MSIP_Label_0b441a3e-b2f6-4623-9007-da0742ac9d7d_ActionId">
    <vt:lpwstr>13b60638-e555-453e-9140-0000b901ee49</vt:lpwstr>
  </property>
  <property fmtid="{D5CDD505-2E9C-101B-9397-08002B2CF9AE}" pid="8" name="MSIP_Label_0b441a3e-b2f6-4623-9007-da0742ac9d7d_ContentBits">
    <vt:lpwstr>0</vt:lpwstr>
  </property>
</Properties>
</file>